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6C14" w:rsidRPr="006E1C7C" w:rsidRDefault="00ED037F" w:rsidP="003569B9">
      <w:pPr>
        <w:pStyle w:val="Nadpis2"/>
        <w:ind w:firstLine="0"/>
        <w:jc w:val="center"/>
        <w:rPr>
          <w:rFonts w:ascii="Calibri" w:hAnsi="Calibri" w:cs="Calibri"/>
          <w:b w:val="0"/>
          <w:sz w:val="26"/>
          <w:szCs w:val="26"/>
        </w:rPr>
      </w:pPr>
      <w:r w:rsidRPr="006E1C7C">
        <w:rPr>
          <w:rFonts w:ascii="Calibri" w:hAnsi="Calibri" w:cs="Calibri"/>
          <w:b w:val="0"/>
          <w:sz w:val="26"/>
          <w:szCs w:val="26"/>
        </w:rPr>
        <w:t xml:space="preserve">PŘÍLOHA Č. </w:t>
      </w:r>
      <w:r w:rsidR="00966C14" w:rsidRPr="006E1C7C">
        <w:rPr>
          <w:rFonts w:ascii="Calibri" w:hAnsi="Calibri" w:cs="Calibri"/>
          <w:b w:val="0"/>
          <w:sz w:val="26"/>
          <w:szCs w:val="26"/>
        </w:rPr>
        <w:t>1</w:t>
      </w:r>
      <w:r w:rsidR="006B2A3D" w:rsidRPr="006E1C7C">
        <w:rPr>
          <w:rFonts w:ascii="Calibri" w:hAnsi="Calibri" w:cs="Calibri"/>
          <w:b w:val="0"/>
          <w:sz w:val="26"/>
          <w:szCs w:val="26"/>
        </w:rPr>
        <w:t>1</w:t>
      </w:r>
      <w:r w:rsidRPr="006E1C7C">
        <w:rPr>
          <w:rFonts w:ascii="Calibri" w:hAnsi="Calibri" w:cs="Calibri"/>
          <w:b w:val="0"/>
          <w:sz w:val="26"/>
          <w:szCs w:val="26"/>
        </w:rPr>
        <w:t xml:space="preserve"> </w:t>
      </w:r>
    </w:p>
    <w:p w:rsidR="006E1EE2" w:rsidRPr="006E1C7C" w:rsidRDefault="00ED037F" w:rsidP="003569B9">
      <w:pPr>
        <w:pStyle w:val="Nadpis2"/>
        <w:ind w:firstLine="0"/>
        <w:jc w:val="center"/>
        <w:rPr>
          <w:rFonts w:ascii="Calibri" w:hAnsi="Calibri" w:cs="Calibri"/>
          <w:b w:val="0"/>
          <w:sz w:val="26"/>
          <w:szCs w:val="26"/>
        </w:rPr>
      </w:pPr>
      <w:r w:rsidRPr="006E1C7C">
        <w:rPr>
          <w:rFonts w:ascii="Calibri" w:hAnsi="Calibri" w:cs="Calibri"/>
          <w:b w:val="0"/>
          <w:sz w:val="26"/>
          <w:szCs w:val="26"/>
        </w:rPr>
        <w:t>SM</w:t>
      </w:r>
      <w:bookmarkStart w:id="0" w:name="_GoBack"/>
      <w:bookmarkEnd w:id="0"/>
      <w:r w:rsidRPr="006E1C7C">
        <w:rPr>
          <w:rFonts w:ascii="Calibri" w:hAnsi="Calibri" w:cs="Calibri"/>
          <w:b w:val="0"/>
          <w:sz w:val="26"/>
          <w:szCs w:val="26"/>
        </w:rPr>
        <w:t>LOUVY</w:t>
      </w:r>
      <w:r w:rsidR="00BE3A41" w:rsidRPr="006E1C7C">
        <w:rPr>
          <w:rFonts w:ascii="Calibri" w:hAnsi="Calibri" w:cs="Calibri"/>
          <w:b w:val="0"/>
          <w:sz w:val="26"/>
          <w:szCs w:val="26"/>
        </w:rPr>
        <w:t xml:space="preserve"> </w:t>
      </w:r>
      <w:r w:rsidR="00966C14" w:rsidRPr="006E1C7C">
        <w:rPr>
          <w:rFonts w:ascii="Calibri" w:hAnsi="Calibri" w:cs="Calibri"/>
          <w:b w:val="0"/>
          <w:sz w:val="26"/>
          <w:szCs w:val="26"/>
        </w:rPr>
        <w:t>NA PROVOZOVÁNÍ MĚSTSKÉ AUTOBUSOVÉ DOPRAVY V CHRUDIMI</w:t>
      </w:r>
    </w:p>
    <w:p w:rsidR="003569B9" w:rsidRPr="006E1C7C" w:rsidRDefault="00BE3A41" w:rsidP="003569B9">
      <w:pPr>
        <w:pStyle w:val="Nadpis2"/>
        <w:ind w:firstLine="0"/>
        <w:jc w:val="center"/>
        <w:rPr>
          <w:rFonts w:ascii="Calibri" w:hAnsi="Calibri" w:cs="Calibri"/>
          <w:b w:val="0"/>
          <w:sz w:val="26"/>
          <w:szCs w:val="26"/>
        </w:rPr>
      </w:pPr>
      <w:r w:rsidRPr="006E1C7C">
        <w:rPr>
          <w:rFonts w:ascii="Calibri" w:hAnsi="Calibri" w:cs="Calibri"/>
          <w:b w:val="0"/>
          <w:sz w:val="26"/>
          <w:szCs w:val="26"/>
        </w:rPr>
        <w:t>NA OBDOBÍ 20</w:t>
      </w:r>
      <w:r w:rsidR="006E1EE2" w:rsidRPr="006E1C7C">
        <w:rPr>
          <w:rFonts w:ascii="Calibri" w:hAnsi="Calibri" w:cs="Calibri"/>
          <w:b w:val="0"/>
          <w:sz w:val="26"/>
          <w:szCs w:val="26"/>
        </w:rPr>
        <w:t>2</w:t>
      </w:r>
      <w:r w:rsidR="00211A0A">
        <w:rPr>
          <w:rFonts w:ascii="Calibri" w:hAnsi="Calibri" w:cs="Calibri"/>
          <w:b w:val="0"/>
          <w:sz w:val="26"/>
          <w:szCs w:val="26"/>
        </w:rPr>
        <w:t>5</w:t>
      </w:r>
      <w:r w:rsidRPr="006E1C7C">
        <w:rPr>
          <w:rFonts w:ascii="Calibri" w:hAnsi="Calibri" w:cs="Calibri"/>
          <w:b w:val="0"/>
          <w:sz w:val="26"/>
          <w:szCs w:val="26"/>
        </w:rPr>
        <w:t xml:space="preserve"> -20</w:t>
      </w:r>
      <w:r w:rsidR="006E1EE2" w:rsidRPr="006E1C7C">
        <w:rPr>
          <w:rFonts w:ascii="Calibri" w:hAnsi="Calibri" w:cs="Calibri"/>
          <w:b w:val="0"/>
          <w:sz w:val="26"/>
          <w:szCs w:val="26"/>
        </w:rPr>
        <w:t>3</w:t>
      </w:r>
      <w:r w:rsidR="00211A0A">
        <w:rPr>
          <w:rFonts w:ascii="Calibri" w:hAnsi="Calibri" w:cs="Calibri"/>
          <w:b w:val="0"/>
          <w:sz w:val="26"/>
          <w:szCs w:val="26"/>
        </w:rPr>
        <w:t>7</w:t>
      </w:r>
    </w:p>
    <w:p w:rsidR="003569B9" w:rsidRPr="006E1C7C" w:rsidRDefault="003569B9" w:rsidP="003569B9">
      <w:pPr>
        <w:pStyle w:val="Nadpis2"/>
        <w:ind w:firstLine="0"/>
        <w:jc w:val="center"/>
        <w:rPr>
          <w:rFonts w:ascii="Calibri" w:hAnsi="Calibri" w:cs="Calibri"/>
          <w:sz w:val="24"/>
          <w:szCs w:val="24"/>
        </w:rPr>
      </w:pPr>
    </w:p>
    <w:p w:rsidR="003569B9" w:rsidRPr="006E1C7C" w:rsidRDefault="003569B9" w:rsidP="003569B9">
      <w:pPr>
        <w:spacing w:after="120" w:line="240" w:lineRule="auto"/>
        <w:jc w:val="center"/>
        <w:rPr>
          <w:rFonts w:eastAsia="Times New Roman" w:cs="Calibri"/>
          <w:b/>
          <w:sz w:val="26"/>
          <w:szCs w:val="26"/>
          <w:lang w:val="cs-CZ" w:eastAsia="cs-CZ"/>
        </w:rPr>
      </w:pPr>
      <w:r w:rsidRPr="006E1C7C">
        <w:rPr>
          <w:rFonts w:eastAsia="Times New Roman" w:cs="Calibri"/>
          <w:b/>
          <w:sz w:val="26"/>
          <w:szCs w:val="26"/>
          <w:lang w:val="cs-CZ" w:eastAsia="cs-CZ"/>
        </w:rPr>
        <w:t>VZOR TABULKY PRO ÚPRAVU CEN</w:t>
      </w:r>
    </w:p>
    <w:p w:rsidR="006E1C7C" w:rsidRPr="006E1C7C" w:rsidRDefault="006E1C7C" w:rsidP="003569B9">
      <w:pPr>
        <w:spacing w:after="120" w:line="240" w:lineRule="auto"/>
        <w:jc w:val="both"/>
        <w:rPr>
          <w:rFonts w:eastAsia="Times New Roman" w:cs="Calibri"/>
          <w:sz w:val="24"/>
          <w:szCs w:val="24"/>
          <w:u w:val="single"/>
          <w:lang w:val="cs-CZ" w:eastAsia="cs-CZ"/>
        </w:rPr>
      </w:pPr>
      <w:r w:rsidRPr="006E1C7C">
        <w:rPr>
          <w:rFonts w:eastAsia="Times New Roman" w:cs="Calibri"/>
          <w:sz w:val="24"/>
          <w:szCs w:val="24"/>
          <w:u w:val="single"/>
          <w:lang w:val="cs-CZ" w:eastAsia="cs-CZ"/>
        </w:rPr>
        <w:t>Druh pohonu: (výpočet změny CDV pro každý pohon zvlášt – nafta, elektrobus, CNG, …)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938"/>
        <w:gridCol w:w="4350"/>
      </w:tblGrid>
      <w:tr w:rsidR="006E1C7C" w:rsidRPr="006E1C7C" w:rsidTr="003569B9">
        <w:tc>
          <w:tcPr>
            <w:tcW w:w="4938" w:type="dxa"/>
          </w:tcPr>
          <w:p w:rsidR="003569B9" w:rsidRPr="006E1C7C" w:rsidRDefault="003569B9" w:rsidP="006E1C7C">
            <w:pPr>
              <w:spacing w:after="120"/>
              <w:jc w:val="both"/>
              <w:rPr>
                <w:rFonts w:eastAsia="Times New Roman" w:cs="Calibri"/>
                <w:sz w:val="24"/>
                <w:szCs w:val="24"/>
                <w:lang w:val="cs-CZ" w:eastAsia="cs-CZ"/>
              </w:rPr>
            </w:pPr>
            <w:r w:rsidRPr="006E1C7C">
              <w:rPr>
                <w:rFonts w:eastAsia="Times New Roman" w:cs="Calibri"/>
                <w:sz w:val="24"/>
                <w:szCs w:val="24"/>
                <w:lang w:val="cs-CZ" w:eastAsia="cs-CZ"/>
              </w:rPr>
              <w:t>Základní cena dopravního výkonu na 1 km platná pro rok 20</w:t>
            </w:r>
            <w:r w:rsidR="006E1C7C" w:rsidRPr="006E1C7C">
              <w:rPr>
                <w:rFonts w:eastAsia="Times New Roman" w:cs="Calibri"/>
                <w:sz w:val="24"/>
                <w:szCs w:val="24"/>
                <w:lang w:val="cs-CZ" w:eastAsia="cs-CZ"/>
              </w:rPr>
              <w:t>2</w:t>
            </w:r>
            <w:r w:rsidR="00211A0A">
              <w:rPr>
                <w:rFonts w:eastAsia="Times New Roman" w:cs="Calibri"/>
                <w:sz w:val="24"/>
                <w:szCs w:val="24"/>
                <w:lang w:val="cs-CZ" w:eastAsia="cs-CZ"/>
              </w:rPr>
              <w:t>5</w:t>
            </w:r>
            <w:r w:rsidRPr="006E1C7C">
              <w:rPr>
                <w:rFonts w:eastAsia="Times New Roman" w:cs="Calibri"/>
                <w:sz w:val="24"/>
                <w:szCs w:val="24"/>
                <w:lang w:val="cs-CZ" w:eastAsia="cs-CZ"/>
              </w:rPr>
              <w:t xml:space="preserve"> </w:t>
            </w:r>
          </w:p>
        </w:tc>
        <w:tc>
          <w:tcPr>
            <w:tcW w:w="4350" w:type="dxa"/>
          </w:tcPr>
          <w:p w:rsidR="003569B9" w:rsidRPr="006E1C7C" w:rsidRDefault="003569B9" w:rsidP="00295662">
            <w:pPr>
              <w:spacing w:after="120"/>
              <w:jc w:val="both"/>
              <w:rPr>
                <w:rFonts w:eastAsia="Times New Roman" w:cs="Calibri"/>
                <w:sz w:val="24"/>
                <w:szCs w:val="24"/>
                <w:lang w:val="cs-CZ" w:eastAsia="cs-CZ"/>
              </w:rPr>
            </w:pPr>
          </w:p>
        </w:tc>
      </w:tr>
      <w:tr w:rsidR="006E1C7C" w:rsidRPr="006E1C7C" w:rsidTr="003569B9">
        <w:tc>
          <w:tcPr>
            <w:tcW w:w="4938" w:type="dxa"/>
          </w:tcPr>
          <w:p w:rsidR="003569B9" w:rsidRPr="006E1C7C" w:rsidRDefault="003569B9" w:rsidP="003569B9">
            <w:pPr>
              <w:spacing w:after="120"/>
              <w:jc w:val="both"/>
              <w:rPr>
                <w:rFonts w:eastAsia="Times New Roman" w:cs="Calibri"/>
                <w:bCs/>
                <w:sz w:val="24"/>
                <w:szCs w:val="24"/>
                <w:lang w:val="cs-CZ" w:eastAsia="cs-CZ"/>
              </w:rPr>
            </w:pPr>
            <w:r w:rsidRPr="006E1C7C">
              <w:rPr>
                <w:rFonts w:eastAsia="Times New Roman" w:cs="Calibri"/>
                <w:bCs/>
                <w:sz w:val="24"/>
                <w:szCs w:val="24"/>
                <w:lang w:val="cs-CZ" w:eastAsia="cs-CZ"/>
              </w:rPr>
              <w:t>Základní cena dopravního výkonu na 1 km platná v bezprostředně předcházejícím kalendářním roce (doplnit rok)</w:t>
            </w:r>
          </w:p>
          <w:p w:rsidR="003569B9" w:rsidRPr="006E1C7C" w:rsidRDefault="003569B9" w:rsidP="00295662">
            <w:pPr>
              <w:spacing w:after="120"/>
              <w:jc w:val="both"/>
              <w:rPr>
                <w:rFonts w:eastAsia="Times New Roman" w:cs="Calibri"/>
                <w:sz w:val="24"/>
                <w:szCs w:val="24"/>
                <w:lang w:val="cs-CZ" w:eastAsia="cs-CZ"/>
              </w:rPr>
            </w:pPr>
          </w:p>
        </w:tc>
        <w:tc>
          <w:tcPr>
            <w:tcW w:w="4350" w:type="dxa"/>
          </w:tcPr>
          <w:p w:rsidR="003569B9" w:rsidRPr="006E1C7C" w:rsidRDefault="003569B9" w:rsidP="00295662">
            <w:pPr>
              <w:spacing w:after="120"/>
              <w:jc w:val="both"/>
              <w:rPr>
                <w:rFonts w:eastAsia="Times New Roman" w:cs="Calibri"/>
                <w:sz w:val="24"/>
                <w:szCs w:val="24"/>
                <w:lang w:val="cs-CZ" w:eastAsia="cs-CZ"/>
              </w:rPr>
            </w:pPr>
          </w:p>
        </w:tc>
      </w:tr>
    </w:tbl>
    <w:p w:rsidR="003569B9" w:rsidRPr="006E1C7C" w:rsidRDefault="003569B9" w:rsidP="003569B9">
      <w:pPr>
        <w:spacing w:after="120" w:line="240" w:lineRule="auto"/>
        <w:jc w:val="both"/>
        <w:rPr>
          <w:rFonts w:eastAsia="Times New Roman" w:cs="Calibri"/>
          <w:b/>
          <w:bCs/>
          <w:sz w:val="24"/>
          <w:szCs w:val="24"/>
          <w:lang w:val="cs-CZ" w:eastAsia="cs-CZ"/>
        </w:rPr>
      </w:pPr>
    </w:p>
    <w:p w:rsidR="003569B9" w:rsidRPr="006E1C7C" w:rsidRDefault="003569B9" w:rsidP="003569B9">
      <w:pPr>
        <w:spacing w:after="120" w:line="240" w:lineRule="auto"/>
        <w:jc w:val="both"/>
        <w:rPr>
          <w:rFonts w:eastAsia="Times New Roman" w:cs="Calibri"/>
          <w:sz w:val="24"/>
          <w:szCs w:val="24"/>
          <w:u w:val="single"/>
          <w:lang w:val="cs-CZ" w:eastAsia="cs-CZ"/>
        </w:rPr>
      </w:pPr>
      <w:r w:rsidRPr="006E1C7C">
        <w:rPr>
          <w:rFonts w:eastAsia="Times New Roman" w:cs="Calibri"/>
          <w:sz w:val="24"/>
          <w:szCs w:val="24"/>
          <w:u w:val="single"/>
          <w:lang w:val="cs-CZ" w:eastAsia="cs-CZ"/>
        </w:rPr>
        <w:t>Úprava ceny podle smlouvy – výpočet:</w:t>
      </w:r>
    </w:p>
    <w:p w:rsidR="003569B9" w:rsidRPr="006E1C7C" w:rsidRDefault="003569B9" w:rsidP="003569B9">
      <w:pPr>
        <w:spacing w:after="120" w:line="240" w:lineRule="auto"/>
        <w:jc w:val="both"/>
        <w:rPr>
          <w:rFonts w:eastAsia="Times New Roman" w:cs="Calibri"/>
          <w:sz w:val="24"/>
          <w:szCs w:val="24"/>
          <w:u w:val="single"/>
          <w:lang w:val="cs-CZ" w:eastAsia="cs-CZ"/>
        </w:rPr>
      </w:pPr>
    </w:p>
    <w:tbl>
      <w:tblPr>
        <w:tblStyle w:val="Mkatabulky"/>
        <w:tblW w:w="9606" w:type="dxa"/>
        <w:tblLook w:val="04A0" w:firstRow="1" w:lastRow="0" w:firstColumn="1" w:lastColumn="0" w:noHBand="0" w:noVBand="1"/>
      </w:tblPr>
      <w:tblGrid>
        <w:gridCol w:w="2303"/>
        <w:gridCol w:w="2303"/>
        <w:gridCol w:w="1314"/>
        <w:gridCol w:w="3686"/>
      </w:tblGrid>
      <w:tr w:rsidR="006E1C7C" w:rsidRPr="006E1C7C" w:rsidTr="003569B9">
        <w:tc>
          <w:tcPr>
            <w:tcW w:w="2303" w:type="dxa"/>
          </w:tcPr>
          <w:p w:rsidR="003569B9" w:rsidRPr="006E1C7C" w:rsidRDefault="003569B9" w:rsidP="006E1C7C">
            <w:pPr>
              <w:spacing w:after="120"/>
              <w:jc w:val="both"/>
              <w:rPr>
                <w:rFonts w:eastAsia="Times New Roman" w:cs="Calibri"/>
                <w:sz w:val="24"/>
                <w:szCs w:val="24"/>
                <w:vertAlign w:val="subscript"/>
                <w:lang w:val="cs-CZ" w:eastAsia="cs-CZ"/>
              </w:rPr>
            </w:pPr>
            <w:r w:rsidRPr="006E1C7C">
              <w:rPr>
                <w:rFonts w:eastAsia="Times New Roman" w:cs="Calibri"/>
                <w:sz w:val="24"/>
                <w:szCs w:val="24"/>
                <w:lang w:val="cs-CZ" w:eastAsia="cs-CZ"/>
              </w:rPr>
              <w:t>Průměrná hrubá nominální mzda v roce 20</w:t>
            </w:r>
            <w:r w:rsidR="006E1C7C" w:rsidRPr="006E1C7C">
              <w:rPr>
                <w:rFonts w:eastAsia="Times New Roman" w:cs="Calibri"/>
                <w:sz w:val="24"/>
                <w:szCs w:val="24"/>
                <w:lang w:val="cs-CZ" w:eastAsia="cs-CZ"/>
              </w:rPr>
              <w:t>2</w:t>
            </w:r>
            <w:r w:rsidR="00211A0A">
              <w:rPr>
                <w:rFonts w:eastAsia="Times New Roman" w:cs="Calibri"/>
                <w:sz w:val="24"/>
                <w:szCs w:val="24"/>
                <w:lang w:val="cs-CZ" w:eastAsia="cs-CZ"/>
              </w:rPr>
              <w:t>5</w:t>
            </w:r>
            <w:r w:rsidRPr="006E1C7C">
              <w:rPr>
                <w:rFonts w:eastAsia="Times New Roman" w:cs="Calibri"/>
                <w:sz w:val="24"/>
                <w:szCs w:val="24"/>
                <w:lang w:val="cs-CZ" w:eastAsia="cs-CZ"/>
              </w:rPr>
              <w:t xml:space="preserve"> zveřejněná Českým statistickým úřadem v Kč M</w:t>
            </w:r>
            <w:r w:rsidRPr="006E1C7C">
              <w:rPr>
                <w:rFonts w:eastAsia="Times New Roman" w:cs="Calibri"/>
                <w:sz w:val="24"/>
                <w:szCs w:val="24"/>
                <w:vertAlign w:val="subscript"/>
                <w:lang w:val="cs-CZ" w:eastAsia="cs-CZ"/>
              </w:rPr>
              <w:t>20</w:t>
            </w:r>
            <w:r w:rsidR="006E1C7C" w:rsidRPr="006E1C7C">
              <w:rPr>
                <w:rFonts w:eastAsia="Times New Roman" w:cs="Calibri"/>
                <w:sz w:val="24"/>
                <w:szCs w:val="24"/>
                <w:vertAlign w:val="subscript"/>
                <w:lang w:val="cs-CZ" w:eastAsia="cs-CZ"/>
              </w:rPr>
              <w:t>23</w:t>
            </w:r>
          </w:p>
        </w:tc>
        <w:tc>
          <w:tcPr>
            <w:tcW w:w="2303" w:type="dxa"/>
          </w:tcPr>
          <w:p w:rsidR="003569B9" w:rsidRPr="006E1C7C" w:rsidRDefault="003569B9" w:rsidP="003569B9">
            <w:pPr>
              <w:spacing w:after="120"/>
              <w:jc w:val="both"/>
              <w:rPr>
                <w:rFonts w:eastAsia="Times New Roman" w:cs="Calibri"/>
                <w:sz w:val="24"/>
                <w:szCs w:val="24"/>
                <w:u w:val="single"/>
                <w:lang w:val="cs-CZ" w:eastAsia="cs-CZ"/>
              </w:rPr>
            </w:pPr>
            <w:r w:rsidRPr="006E1C7C">
              <w:rPr>
                <w:rFonts w:eastAsia="Times New Roman" w:cs="Calibri"/>
                <w:sz w:val="24"/>
                <w:szCs w:val="24"/>
                <w:lang w:val="cs-CZ" w:eastAsia="cs-CZ"/>
              </w:rPr>
              <w:t>Průměrná hrubá nominální mzda v bezprostředně předcházejícím roce zveřejněná Českým statistickým úřadem v Kč M</w:t>
            </w:r>
            <w:r w:rsidRPr="006E1C7C">
              <w:rPr>
                <w:rFonts w:eastAsia="Times New Roman" w:cs="Calibri"/>
                <w:sz w:val="24"/>
                <w:szCs w:val="24"/>
                <w:vertAlign w:val="subscript"/>
                <w:lang w:val="cs-CZ" w:eastAsia="cs-CZ"/>
              </w:rPr>
              <w:t>i-1</w:t>
            </w:r>
          </w:p>
        </w:tc>
        <w:tc>
          <w:tcPr>
            <w:tcW w:w="1314" w:type="dxa"/>
          </w:tcPr>
          <w:p w:rsidR="003569B9" w:rsidRPr="006E1C7C" w:rsidRDefault="003569B9" w:rsidP="003569B9">
            <w:pPr>
              <w:spacing w:after="120"/>
              <w:jc w:val="both"/>
              <w:rPr>
                <w:rFonts w:eastAsia="Times New Roman" w:cs="Calibri"/>
                <w:sz w:val="24"/>
                <w:szCs w:val="24"/>
                <w:u w:val="single"/>
                <w:lang w:val="cs-CZ" w:eastAsia="cs-CZ"/>
              </w:rPr>
            </w:pPr>
            <w:r w:rsidRPr="006E1C7C">
              <w:rPr>
                <w:rFonts w:cs="Calibri"/>
                <w:sz w:val="24"/>
                <w:szCs w:val="24"/>
                <w:lang w:val="cs-CZ"/>
              </w:rPr>
              <w:t xml:space="preserve">VFM, ř. 6 </w:t>
            </w:r>
          </w:p>
        </w:tc>
        <w:tc>
          <w:tcPr>
            <w:tcW w:w="3686" w:type="dxa"/>
          </w:tcPr>
          <w:p w:rsidR="003569B9" w:rsidRPr="006E1C7C" w:rsidRDefault="00FA7EDD" w:rsidP="003569B9">
            <w:pPr>
              <w:spacing w:after="120"/>
              <w:jc w:val="both"/>
              <w:rPr>
                <w:rFonts w:eastAsia="Times New Roman" w:cs="Calibri"/>
                <w:sz w:val="24"/>
                <w:szCs w:val="24"/>
                <w:lang w:val="cs-CZ"/>
              </w:rPr>
            </w:pPr>
            <m:oMath>
              <m:sSub>
                <m:sSubPr>
                  <m:ctrlPr>
                    <w:rPr>
                      <w:rFonts w:ascii="Cambria Math" w:hAnsi="Cambria Math" w:cs="Calibri"/>
                      <w:b/>
                      <w:szCs w:val="24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="Calibri"/>
                      <w:szCs w:val="24"/>
                    </w:rPr>
                    <m:t>I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 w:cs="Calibri"/>
                      <w:szCs w:val="24"/>
                    </w:rPr>
                    <m:t>iM</m:t>
                  </m:r>
                </m:sub>
              </m:sSub>
              <m:r>
                <w:rPr>
                  <w:rFonts w:ascii="Cambria Math" w:cs="Calibri"/>
                  <w:szCs w:val="24"/>
                </w:rPr>
                <m:t>=</m:t>
              </m:r>
              <m:r>
                <w:rPr>
                  <w:rFonts w:ascii="Cambria Math" w:hAnsi="Cambria Math" w:cs="Calibri"/>
                  <w:szCs w:val="24"/>
                </w:rPr>
                <m:t>VFM</m:t>
              </m:r>
              <m:r>
                <w:rPr>
                  <w:rFonts w:ascii="Cambria Math" w:cs="Calibri"/>
                  <w:szCs w:val="24"/>
                </w:rPr>
                <m:t xml:space="preserve">, </m:t>
              </m:r>
              <m:r>
                <w:rPr>
                  <w:rFonts w:ascii="Cambria Math" w:hAnsi="Cambria Math" w:cs="Calibri"/>
                  <w:szCs w:val="24"/>
                </w:rPr>
                <m:t>ř</m:t>
              </m:r>
              <m:r>
                <w:rPr>
                  <w:rFonts w:ascii="Cambria Math" w:cs="Calibri"/>
                  <w:szCs w:val="24"/>
                </w:rPr>
                <m:t xml:space="preserve">. 6 </m:t>
              </m:r>
              <m:r>
                <w:rPr>
                  <w:rFonts w:ascii="Cambria Math" w:hAnsi="Cambria Math" w:cs="Calibri"/>
                  <w:szCs w:val="24"/>
                </w:rPr>
                <m:t>×</m:t>
              </m:r>
              <m:d>
                <m:dPr>
                  <m:ctrlPr>
                    <w:rPr>
                      <w:rFonts w:ascii="Cambria Math" w:hAnsi="Cambria Math" w:cs="Calibri"/>
                      <w:i/>
                      <w:sz w:val="24"/>
                      <w:szCs w:val="24"/>
                      <w:lang w:val="cs-CZ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Calibri"/>
                          <w:i/>
                          <w:sz w:val="24"/>
                          <w:szCs w:val="24"/>
                          <w:lang w:val="cs-CZ"/>
                        </w:rPr>
                      </m:ctrlPr>
                    </m:fPr>
                    <m:num>
                      <m:r>
                        <w:rPr>
                          <w:rFonts w:ascii="Cambria Math" w:hAnsi="Cambria Math" w:cs="Calibri"/>
                          <w:szCs w:val="24"/>
                        </w:rPr>
                        <m:t>M</m:t>
                      </m:r>
                      <m:r>
                        <w:rPr>
                          <w:rFonts w:ascii="Cambria Math" w:cs="Calibri"/>
                          <w:szCs w:val="24"/>
                        </w:rPr>
                        <m:t xml:space="preserve"> </m:t>
                      </m:r>
                      <m:r>
                        <w:rPr>
                          <w:rFonts w:ascii="Cambria Math" w:hAnsi="Cambria Math" w:cs="Calibri"/>
                          <w:szCs w:val="24"/>
                        </w:rPr>
                        <m:t>i-</m:t>
                      </m:r>
                      <m:r>
                        <w:rPr>
                          <w:rFonts w:ascii="Cambria Math" w:cs="Calibri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Calibri"/>
                          <w:szCs w:val="24"/>
                        </w:rPr>
                        <m:t>M</m:t>
                      </m:r>
                      <m:r>
                        <w:rPr>
                          <w:rFonts w:ascii="Cambria Math" w:cs="Calibri"/>
                          <w:szCs w:val="24"/>
                        </w:rPr>
                        <m:t>2023</m:t>
                      </m:r>
                    </m:den>
                  </m:f>
                  <m:r>
                    <w:rPr>
                      <w:rFonts w:ascii="Cambria Math" w:hAnsi="Cambria Math" w:cs="Calibri"/>
                      <w:szCs w:val="24"/>
                    </w:rPr>
                    <m:t>-</m:t>
                  </m:r>
                  <m:r>
                    <w:rPr>
                      <w:rFonts w:ascii="Cambria Math" w:cs="Calibri"/>
                      <w:szCs w:val="24"/>
                    </w:rPr>
                    <m:t xml:space="preserve"> 1</m:t>
                  </m:r>
                </m:e>
              </m:d>
            </m:oMath>
            <w:r w:rsidR="003569B9" w:rsidRPr="006E1C7C">
              <w:rPr>
                <w:rFonts w:eastAsia="Times New Roman" w:cs="Calibri"/>
                <w:sz w:val="24"/>
                <w:szCs w:val="24"/>
                <w:lang w:val="cs-CZ"/>
              </w:rPr>
              <w:t xml:space="preserve"> </w:t>
            </w:r>
          </w:p>
          <w:p w:rsidR="003569B9" w:rsidRPr="006E1C7C" w:rsidRDefault="003569B9" w:rsidP="003569B9">
            <w:pPr>
              <w:spacing w:after="120"/>
              <w:jc w:val="both"/>
              <w:rPr>
                <w:rFonts w:eastAsia="Times New Roman" w:cs="Calibri"/>
                <w:sz w:val="24"/>
                <w:szCs w:val="24"/>
                <w:u w:val="single"/>
                <w:lang w:val="cs-CZ" w:eastAsia="cs-CZ"/>
              </w:rPr>
            </w:pPr>
            <w:r w:rsidRPr="006E1C7C">
              <w:rPr>
                <w:rFonts w:eastAsia="Times New Roman" w:cs="Calibri"/>
                <w:sz w:val="24"/>
                <w:szCs w:val="24"/>
                <w:lang w:val="cs-CZ"/>
              </w:rPr>
              <w:t>V Kč</w:t>
            </w:r>
          </w:p>
        </w:tc>
      </w:tr>
      <w:tr w:rsidR="003569B9" w:rsidRPr="006E1C7C" w:rsidTr="003569B9">
        <w:trPr>
          <w:trHeight w:val="1064"/>
        </w:trPr>
        <w:tc>
          <w:tcPr>
            <w:tcW w:w="2303" w:type="dxa"/>
          </w:tcPr>
          <w:p w:rsidR="003569B9" w:rsidRPr="006E1C7C" w:rsidRDefault="003569B9" w:rsidP="003569B9">
            <w:pPr>
              <w:spacing w:after="120"/>
              <w:jc w:val="both"/>
              <w:rPr>
                <w:rFonts w:eastAsia="Times New Roman" w:cs="Calibri"/>
                <w:sz w:val="24"/>
                <w:szCs w:val="24"/>
                <w:u w:val="single"/>
                <w:lang w:val="cs-CZ" w:eastAsia="cs-CZ"/>
              </w:rPr>
            </w:pPr>
          </w:p>
        </w:tc>
        <w:tc>
          <w:tcPr>
            <w:tcW w:w="2303" w:type="dxa"/>
          </w:tcPr>
          <w:p w:rsidR="003569B9" w:rsidRPr="006E1C7C" w:rsidRDefault="003569B9" w:rsidP="003569B9">
            <w:pPr>
              <w:spacing w:after="120"/>
              <w:jc w:val="both"/>
              <w:rPr>
                <w:rFonts w:eastAsia="Times New Roman" w:cs="Calibri"/>
                <w:sz w:val="24"/>
                <w:szCs w:val="24"/>
                <w:u w:val="single"/>
                <w:lang w:val="cs-CZ" w:eastAsia="cs-CZ"/>
              </w:rPr>
            </w:pPr>
          </w:p>
        </w:tc>
        <w:tc>
          <w:tcPr>
            <w:tcW w:w="1314" w:type="dxa"/>
          </w:tcPr>
          <w:p w:rsidR="003569B9" w:rsidRPr="006E1C7C" w:rsidRDefault="003569B9" w:rsidP="003569B9">
            <w:pPr>
              <w:spacing w:after="120"/>
              <w:jc w:val="both"/>
              <w:rPr>
                <w:rFonts w:eastAsia="Times New Roman" w:cs="Calibri"/>
                <w:sz w:val="24"/>
                <w:szCs w:val="24"/>
                <w:u w:val="single"/>
                <w:lang w:val="cs-CZ" w:eastAsia="cs-CZ"/>
              </w:rPr>
            </w:pPr>
          </w:p>
        </w:tc>
        <w:tc>
          <w:tcPr>
            <w:tcW w:w="3686" w:type="dxa"/>
          </w:tcPr>
          <w:p w:rsidR="003569B9" w:rsidRPr="006E1C7C" w:rsidRDefault="003569B9" w:rsidP="003569B9">
            <w:pPr>
              <w:spacing w:after="120"/>
              <w:jc w:val="both"/>
              <w:rPr>
                <w:rFonts w:eastAsia="Times New Roman" w:cs="Calibri"/>
                <w:sz w:val="24"/>
                <w:szCs w:val="24"/>
                <w:u w:val="single"/>
                <w:lang w:val="cs-CZ" w:eastAsia="cs-CZ"/>
              </w:rPr>
            </w:pPr>
          </w:p>
        </w:tc>
      </w:tr>
    </w:tbl>
    <w:p w:rsidR="003569B9" w:rsidRPr="006E1C7C" w:rsidRDefault="003569B9" w:rsidP="003569B9">
      <w:pPr>
        <w:spacing w:after="120" w:line="240" w:lineRule="auto"/>
        <w:jc w:val="both"/>
        <w:rPr>
          <w:rFonts w:eastAsia="Times New Roman" w:cs="Calibri"/>
          <w:sz w:val="24"/>
          <w:szCs w:val="24"/>
          <w:u w:val="single"/>
          <w:lang w:val="cs-CZ" w:eastAsia="cs-CZ"/>
        </w:rPr>
      </w:pPr>
    </w:p>
    <w:p w:rsidR="003569B9" w:rsidRPr="006E1C7C" w:rsidRDefault="003569B9" w:rsidP="003569B9">
      <w:pPr>
        <w:spacing w:after="120" w:line="240" w:lineRule="auto"/>
        <w:jc w:val="both"/>
        <w:rPr>
          <w:rFonts w:eastAsia="Times New Roman" w:cs="Calibri"/>
          <w:sz w:val="24"/>
          <w:szCs w:val="24"/>
          <w:u w:val="single"/>
          <w:lang w:val="cs-CZ" w:eastAsia="cs-CZ"/>
        </w:rPr>
      </w:pPr>
    </w:p>
    <w:tbl>
      <w:tblPr>
        <w:tblStyle w:val="Mkatabulky"/>
        <w:tblW w:w="9606" w:type="dxa"/>
        <w:tblLook w:val="04A0" w:firstRow="1" w:lastRow="0" w:firstColumn="1" w:lastColumn="0" w:noHBand="0" w:noVBand="1"/>
      </w:tblPr>
      <w:tblGrid>
        <w:gridCol w:w="2303"/>
        <w:gridCol w:w="2303"/>
        <w:gridCol w:w="1314"/>
        <w:gridCol w:w="3686"/>
      </w:tblGrid>
      <w:tr w:rsidR="006E1C7C" w:rsidRPr="006E1C7C" w:rsidTr="00633FDC">
        <w:tc>
          <w:tcPr>
            <w:tcW w:w="2303" w:type="dxa"/>
          </w:tcPr>
          <w:p w:rsidR="003569B9" w:rsidRPr="006E1C7C" w:rsidRDefault="003569B9" w:rsidP="006E1C7C">
            <w:pPr>
              <w:spacing w:after="120"/>
              <w:jc w:val="both"/>
              <w:rPr>
                <w:rFonts w:eastAsia="Times New Roman" w:cs="Calibri"/>
                <w:sz w:val="24"/>
                <w:szCs w:val="24"/>
                <w:vertAlign w:val="subscript"/>
                <w:lang w:val="cs-CZ" w:eastAsia="cs-CZ"/>
              </w:rPr>
            </w:pPr>
            <w:r w:rsidRPr="006E1C7C">
              <w:rPr>
                <w:rFonts w:eastAsia="Times New Roman" w:cs="Calibri"/>
                <w:sz w:val="24"/>
                <w:szCs w:val="24"/>
                <w:lang w:val="cs-CZ" w:eastAsia="cs-CZ"/>
              </w:rPr>
              <w:t>Průměrná spotřebitelská cena motorové nafty  v roce 20</w:t>
            </w:r>
            <w:r w:rsidR="006E1C7C" w:rsidRPr="006E1C7C">
              <w:rPr>
                <w:rFonts w:eastAsia="Times New Roman" w:cs="Calibri"/>
                <w:sz w:val="24"/>
                <w:szCs w:val="24"/>
                <w:lang w:val="cs-CZ" w:eastAsia="cs-CZ"/>
              </w:rPr>
              <w:t>23</w:t>
            </w:r>
            <w:r w:rsidRPr="006E1C7C">
              <w:rPr>
                <w:rFonts w:eastAsia="Times New Roman" w:cs="Calibri"/>
                <w:sz w:val="24"/>
                <w:szCs w:val="24"/>
                <w:lang w:val="cs-CZ" w:eastAsia="cs-CZ"/>
              </w:rPr>
              <w:t xml:space="preserve"> zveřejněná Českým statistickým úřadem v Kč M</w:t>
            </w:r>
            <w:r w:rsidRPr="006E1C7C">
              <w:rPr>
                <w:rFonts w:eastAsia="Times New Roman" w:cs="Calibri"/>
                <w:sz w:val="24"/>
                <w:szCs w:val="24"/>
                <w:vertAlign w:val="subscript"/>
                <w:lang w:val="cs-CZ" w:eastAsia="cs-CZ"/>
              </w:rPr>
              <w:t>2016</w:t>
            </w:r>
          </w:p>
        </w:tc>
        <w:tc>
          <w:tcPr>
            <w:tcW w:w="2303" w:type="dxa"/>
          </w:tcPr>
          <w:p w:rsidR="003569B9" w:rsidRPr="006E1C7C" w:rsidRDefault="003569B9" w:rsidP="003569B9">
            <w:pPr>
              <w:spacing w:after="120"/>
              <w:jc w:val="both"/>
              <w:rPr>
                <w:rFonts w:eastAsia="Times New Roman" w:cs="Calibri"/>
                <w:sz w:val="24"/>
                <w:szCs w:val="24"/>
                <w:u w:val="single"/>
                <w:lang w:val="cs-CZ" w:eastAsia="cs-CZ"/>
              </w:rPr>
            </w:pPr>
            <w:r w:rsidRPr="006E1C7C">
              <w:rPr>
                <w:rFonts w:eastAsia="Times New Roman" w:cs="Calibri"/>
                <w:sz w:val="24"/>
                <w:szCs w:val="24"/>
                <w:lang w:val="cs-CZ" w:eastAsia="cs-CZ"/>
              </w:rPr>
              <w:t>Průměrná spotřebitelská cena motorové nafty v bezprostředně předcházejícím roce zveřejněná Českým statistickým úřadem v Kč M</w:t>
            </w:r>
            <w:r w:rsidRPr="006E1C7C">
              <w:rPr>
                <w:rFonts w:eastAsia="Times New Roman" w:cs="Calibri"/>
                <w:sz w:val="24"/>
                <w:szCs w:val="24"/>
                <w:vertAlign w:val="subscript"/>
                <w:lang w:val="cs-CZ" w:eastAsia="cs-CZ"/>
              </w:rPr>
              <w:t>i-1</w:t>
            </w:r>
          </w:p>
        </w:tc>
        <w:tc>
          <w:tcPr>
            <w:tcW w:w="1314" w:type="dxa"/>
          </w:tcPr>
          <w:p w:rsidR="003569B9" w:rsidRPr="006E1C7C" w:rsidRDefault="003569B9" w:rsidP="003569B9">
            <w:pPr>
              <w:spacing w:after="120"/>
              <w:jc w:val="both"/>
              <w:rPr>
                <w:rFonts w:eastAsia="Times New Roman" w:cs="Calibri"/>
                <w:sz w:val="24"/>
                <w:szCs w:val="24"/>
                <w:u w:val="single"/>
                <w:lang w:val="cs-CZ" w:eastAsia="cs-CZ"/>
              </w:rPr>
            </w:pPr>
            <w:r w:rsidRPr="006E1C7C">
              <w:rPr>
                <w:rFonts w:cs="Calibri"/>
                <w:sz w:val="24"/>
                <w:szCs w:val="24"/>
                <w:lang w:val="cs-CZ"/>
              </w:rPr>
              <w:t xml:space="preserve">VFM, ř. 1 </w:t>
            </w:r>
          </w:p>
        </w:tc>
        <w:tc>
          <w:tcPr>
            <w:tcW w:w="3686" w:type="dxa"/>
          </w:tcPr>
          <w:p w:rsidR="003569B9" w:rsidRPr="006E1C7C" w:rsidRDefault="00FA7EDD" w:rsidP="00633FDC">
            <w:pPr>
              <w:spacing w:after="120"/>
              <w:jc w:val="both"/>
              <w:rPr>
                <w:rFonts w:eastAsia="Times New Roman" w:cs="Calibri"/>
                <w:sz w:val="24"/>
                <w:szCs w:val="24"/>
                <w:lang w:val="cs-CZ"/>
              </w:rPr>
            </w:pPr>
            <m:oMath>
              <m:sSub>
                <m:sSubPr>
                  <m:ctrlPr>
                    <w:rPr>
                      <w:rFonts w:ascii="Cambria Math" w:hAnsi="Cambria Math" w:cs="Calibri"/>
                      <w:b/>
                      <w:szCs w:val="24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="Calibri"/>
                      <w:szCs w:val="24"/>
                    </w:rPr>
                    <m:t>I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 w:cs="Calibri"/>
                      <w:szCs w:val="24"/>
                    </w:rPr>
                    <m:t>iN</m:t>
                  </m:r>
                </m:sub>
              </m:sSub>
              <m:r>
                <w:rPr>
                  <w:rFonts w:ascii="Cambria Math" w:cs="Calibri"/>
                  <w:szCs w:val="24"/>
                </w:rPr>
                <m:t>=</m:t>
              </m:r>
              <m:r>
                <w:rPr>
                  <w:rFonts w:ascii="Cambria Math" w:hAnsi="Cambria Math" w:cs="Calibri"/>
                  <w:szCs w:val="24"/>
                </w:rPr>
                <m:t>VFM</m:t>
              </m:r>
              <m:r>
                <w:rPr>
                  <w:rFonts w:ascii="Cambria Math" w:cs="Calibri"/>
                  <w:szCs w:val="24"/>
                </w:rPr>
                <m:t xml:space="preserve">, </m:t>
              </m:r>
              <m:r>
                <w:rPr>
                  <w:rFonts w:ascii="Cambria Math" w:hAnsi="Cambria Math" w:cs="Calibri"/>
                  <w:szCs w:val="24"/>
                </w:rPr>
                <m:t>ř</m:t>
              </m:r>
              <m:r>
                <w:rPr>
                  <w:rFonts w:ascii="Cambria Math" w:cs="Calibri"/>
                  <w:szCs w:val="24"/>
                </w:rPr>
                <m:t>.  1</m:t>
              </m:r>
              <m:r>
                <w:rPr>
                  <w:rFonts w:ascii="Cambria Math" w:hAnsi="Cambria Math" w:cs="Calibri"/>
                  <w:szCs w:val="24"/>
                </w:rPr>
                <m:t>×</m:t>
              </m:r>
              <m:d>
                <m:dPr>
                  <m:ctrlPr>
                    <w:rPr>
                      <w:rFonts w:ascii="Cambria Math" w:hAnsi="Cambria Math" w:cs="Calibri"/>
                      <w:i/>
                      <w:sz w:val="24"/>
                      <w:szCs w:val="24"/>
                      <w:lang w:val="cs-CZ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Calibri"/>
                          <w:i/>
                          <w:sz w:val="24"/>
                          <w:szCs w:val="24"/>
                          <w:lang w:val="cs-CZ"/>
                        </w:rPr>
                      </m:ctrlPr>
                    </m:fPr>
                    <m:num>
                      <m:r>
                        <w:rPr>
                          <w:rFonts w:ascii="Cambria Math" w:hAnsi="Cambria Math" w:cs="Calibri"/>
                          <w:szCs w:val="24"/>
                        </w:rPr>
                        <m:t>N</m:t>
                      </m:r>
                      <m:r>
                        <w:rPr>
                          <w:rFonts w:ascii="Cambria Math" w:cs="Calibri"/>
                          <w:szCs w:val="24"/>
                        </w:rPr>
                        <m:t xml:space="preserve"> </m:t>
                      </m:r>
                      <m:r>
                        <w:rPr>
                          <w:rFonts w:ascii="Cambria Math" w:hAnsi="Cambria Math" w:cs="Calibri"/>
                          <w:szCs w:val="24"/>
                        </w:rPr>
                        <m:t>i-</m:t>
                      </m:r>
                      <m:r>
                        <w:rPr>
                          <w:rFonts w:ascii="Cambria Math" w:cs="Calibri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Calibri"/>
                          <w:szCs w:val="24"/>
                        </w:rPr>
                        <m:t>N</m:t>
                      </m:r>
                      <m:r>
                        <w:rPr>
                          <w:rFonts w:ascii="Cambria Math" w:cs="Calibri"/>
                          <w:szCs w:val="24"/>
                        </w:rPr>
                        <m:t>2023</m:t>
                      </m:r>
                    </m:den>
                  </m:f>
                  <m:r>
                    <w:rPr>
                      <w:rFonts w:ascii="Cambria Math" w:hAnsi="Cambria Math" w:cs="Calibri"/>
                      <w:szCs w:val="24"/>
                    </w:rPr>
                    <m:t>-</m:t>
                  </m:r>
                  <m:r>
                    <w:rPr>
                      <w:rFonts w:ascii="Cambria Math" w:cs="Calibri"/>
                      <w:szCs w:val="24"/>
                    </w:rPr>
                    <m:t xml:space="preserve"> 1</m:t>
                  </m:r>
                </m:e>
              </m:d>
            </m:oMath>
            <w:r w:rsidR="003569B9" w:rsidRPr="006E1C7C">
              <w:rPr>
                <w:rFonts w:eastAsia="Times New Roman" w:cs="Calibri"/>
                <w:sz w:val="24"/>
                <w:szCs w:val="24"/>
                <w:lang w:val="cs-CZ"/>
              </w:rPr>
              <w:t xml:space="preserve"> </w:t>
            </w:r>
          </w:p>
          <w:p w:rsidR="003569B9" w:rsidRPr="006E1C7C" w:rsidRDefault="003569B9" w:rsidP="00633FDC">
            <w:pPr>
              <w:spacing w:after="120"/>
              <w:jc w:val="both"/>
              <w:rPr>
                <w:rFonts w:eastAsia="Times New Roman" w:cs="Calibri"/>
                <w:sz w:val="24"/>
                <w:szCs w:val="24"/>
                <w:u w:val="single"/>
                <w:lang w:val="cs-CZ" w:eastAsia="cs-CZ"/>
              </w:rPr>
            </w:pPr>
            <w:r w:rsidRPr="006E1C7C">
              <w:rPr>
                <w:rFonts w:eastAsia="Times New Roman" w:cs="Calibri"/>
                <w:sz w:val="24"/>
                <w:szCs w:val="24"/>
                <w:lang w:val="cs-CZ"/>
              </w:rPr>
              <w:t>V Kč</w:t>
            </w:r>
          </w:p>
        </w:tc>
      </w:tr>
      <w:tr w:rsidR="003569B9" w:rsidRPr="006E1C7C" w:rsidTr="00633FDC">
        <w:trPr>
          <w:trHeight w:val="1064"/>
        </w:trPr>
        <w:tc>
          <w:tcPr>
            <w:tcW w:w="2303" w:type="dxa"/>
          </w:tcPr>
          <w:p w:rsidR="003569B9" w:rsidRPr="006E1C7C" w:rsidRDefault="003569B9" w:rsidP="00633FDC">
            <w:pPr>
              <w:spacing w:after="120"/>
              <w:jc w:val="both"/>
              <w:rPr>
                <w:rFonts w:eastAsia="Times New Roman" w:cs="Calibri"/>
                <w:sz w:val="24"/>
                <w:szCs w:val="24"/>
                <w:u w:val="single"/>
                <w:lang w:val="cs-CZ" w:eastAsia="cs-CZ"/>
              </w:rPr>
            </w:pPr>
          </w:p>
        </w:tc>
        <w:tc>
          <w:tcPr>
            <w:tcW w:w="2303" w:type="dxa"/>
          </w:tcPr>
          <w:p w:rsidR="003569B9" w:rsidRPr="006E1C7C" w:rsidRDefault="003569B9" w:rsidP="00633FDC">
            <w:pPr>
              <w:spacing w:after="120"/>
              <w:jc w:val="both"/>
              <w:rPr>
                <w:rFonts w:eastAsia="Times New Roman" w:cs="Calibri"/>
                <w:sz w:val="24"/>
                <w:szCs w:val="24"/>
                <w:u w:val="single"/>
                <w:lang w:val="cs-CZ" w:eastAsia="cs-CZ"/>
              </w:rPr>
            </w:pPr>
          </w:p>
        </w:tc>
        <w:tc>
          <w:tcPr>
            <w:tcW w:w="1314" w:type="dxa"/>
          </w:tcPr>
          <w:p w:rsidR="003569B9" w:rsidRPr="006E1C7C" w:rsidRDefault="003569B9" w:rsidP="00633FDC">
            <w:pPr>
              <w:spacing w:after="120"/>
              <w:jc w:val="both"/>
              <w:rPr>
                <w:rFonts w:eastAsia="Times New Roman" w:cs="Calibri"/>
                <w:sz w:val="24"/>
                <w:szCs w:val="24"/>
                <w:u w:val="single"/>
                <w:lang w:val="cs-CZ" w:eastAsia="cs-CZ"/>
              </w:rPr>
            </w:pPr>
          </w:p>
        </w:tc>
        <w:tc>
          <w:tcPr>
            <w:tcW w:w="3686" w:type="dxa"/>
          </w:tcPr>
          <w:p w:rsidR="003569B9" w:rsidRPr="006E1C7C" w:rsidRDefault="003569B9" w:rsidP="00633FDC">
            <w:pPr>
              <w:spacing w:after="120"/>
              <w:jc w:val="both"/>
              <w:rPr>
                <w:rFonts w:eastAsia="Times New Roman" w:cs="Calibri"/>
                <w:sz w:val="24"/>
                <w:szCs w:val="24"/>
                <w:u w:val="single"/>
                <w:lang w:val="cs-CZ" w:eastAsia="cs-CZ"/>
              </w:rPr>
            </w:pPr>
          </w:p>
        </w:tc>
      </w:tr>
    </w:tbl>
    <w:p w:rsidR="003569B9" w:rsidRPr="006E1C7C" w:rsidRDefault="003569B9" w:rsidP="003569B9">
      <w:pPr>
        <w:spacing w:after="120" w:line="240" w:lineRule="auto"/>
        <w:jc w:val="both"/>
        <w:rPr>
          <w:rFonts w:eastAsia="Times New Roman" w:cs="Calibri"/>
          <w:sz w:val="24"/>
          <w:szCs w:val="24"/>
          <w:u w:val="single"/>
          <w:lang w:val="cs-CZ" w:eastAsia="cs-CZ"/>
        </w:rPr>
      </w:pPr>
    </w:p>
    <w:p w:rsidR="003569B9" w:rsidRPr="006E1C7C" w:rsidRDefault="003569B9" w:rsidP="003569B9">
      <w:pPr>
        <w:spacing w:after="120" w:line="240" w:lineRule="auto"/>
        <w:jc w:val="both"/>
        <w:rPr>
          <w:rFonts w:eastAsia="Times New Roman" w:cs="Calibri"/>
          <w:sz w:val="24"/>
          <w:szCs w:val="24"/>
          <w:u w:val="single"/>
          <w:lang w:val="cs-CZ" w:eastAsia="cs-CZ"/>
        </w:rPr>
      </w:pPr>
    </w:p>
    <w:p w:rsidR="003569B9" w:rsidRPr="006E1C7C" w:rsidRDefault="003569B9" w:rsidP="003569B9">
      <w:pPr>
        <w:spacing w:after="120" w:line="240" w:lineRule="auto"/>
        <w:jc w:val="both"/>
        <w:rPr>
          <w:rFonts w:eastAsia="Times New Roman" w:cs="Calibri"/>
          <w:sz w:val="24"/>
          <w:szCs w:val="24"/>
          <w:u w:val="single"/>
          <w:lang w:val="cs-CZ" w:eastAsia="cs-CZ"/>
        </w:rPr>
      </w:pPr>
    </w:p>
    <w:p w:rsidR="003569B9" w:rsidRPr="006E1C7C" w:rsidRDefault="003569B9" w:rsidP="003569B9">
      <w:pPr>
        <w:spacing w:after="120" w:line="240" w:lineRule="auto"/>
        <w:jc w:val="both"/>
        <w:rPr>
          <w:rFonts w:eastAsia="Times New Roman" w:cs="Calibri"/>
          <w:sz w:val="24"/>
          <w:szCs w:val="24"/>
          <w:lang w:val="cs-CZ" w:eastAsia="cs-CZ"/>
        </w:rPr>
      </w:pPr>
    </w:p>
    <w:p w:rsidR="003569B9" w:rsidRPr="006E1C7C" w:rsidRDefault="003569B9" w:rsidP="003569B9">
      <w:pPr>
        <w:spacing w:after="120" w:line="240" w:lineRule="auto"/>
        <w:jc w:val="both"/>
        <w:rPr>
          <w:rFonts w:eastAsia="Times New Roman" w:cs="Calibri"/>
          <w:sz w:val="24"/>
          <w:szCs w:val="24"/>
          <w:lang w:val="cs-CZ" w:eastAsia="cs-CZ"/>
        </w:rPr>
      </w:pPr>
      <w:r w:rsidRPr="006E1C7C">
        <w:rPr>
          <w:rFonts w:eastAsia="Times New Roman" w:cs="Calibri"/>
          <w:sz w:val="24"/>
          <w:szCs w:val="24"/>
          <w:u w:val="single"/>
          <w:lang w:val="cs-CZ" w:eastAsia="cs-CZ"/>
        </w:rPr>
        <w:t>Celková úprava základní ceny dopravního výkonu:</w:t>
      </w:r>
    </w:p>
    <w:tbl>
      <w:tblPr>
        <w:tblStyle w:val="Mkatabulky"/>
        <w:tblW w:w="7054" w:type="dxa"/>
        <w:tblLook w:val="04A0" w:firstRow="1" w:lastRow="0" w:firstColumn="1" w:lastColumn="0" w:noHBand="0" w:noVBand="1"/>
      </w:tblPr>
      <w:tblGrid>
        <w:gridCol w:w="2303"/>
        <w:gridCol w:w="4751"/>
      </w:tblGrid>
      <w:tr w:rsidR="006E1C7C" w:rsidRPr="006E1C7C" w:rsidTr="003569B9">
        <w:tc>
          <w:tcPr>
            <w:tcW w:w="2303" w:type="dxa"/>
          </w:tcPr>
          <w:p w:rsidR="003569B9" w:rsidRPr="006E1C7C" w:rsidRDefault="003569B9" w:rsidP="00B80C46">
            <w:pPr>
              <w:spacing w:after="120"/>
              <w:jc w:val="both"/>
              <w:rPr>
                <w:rFonts w:eastAsia="Times New Roman" w:cs="Calibri"/>
                <w:sz w:val="24"/>
                <w:szCs w:val="24"/>
                <w:lang w:val="cs-CZ" w:eastAsia="cs-CZ"/>
              </w:rPr>
            </w:pPr>
            <w:r w:rsidRPr="006E1C7C">
              <w:rPr>
                <w:rFonts w:eastAsia="Times New Roman" w:cs="Calibri"/>
                <w:sz w:val="24"/>
                <w:szCs w:val="24"/>
                <w:lang w:val="cs-CZ" w:eastAsia="cs-CZ"/>
              </w:rPr>
              <w:t xml:space="preserve">Úprava ceny je pro rok </w:t>
            </w:r>
          </w:p>
        </w:tc>
        <w:tc>
          <w:tcPr>
            <w:tcW w:w="4751" w:type="dxa"/>
          </w:tcPr>
          <w:p w:rsidR="003569B9" w:rsidRPr="006E1C7C" w:rsidRDefault="00FA7EDD" w:rsidP="006E1C7C">
            <w:pPr>
              <w:spacing w:after="120"/>
              <w:jc w:val="both"/>
              <w:rPr>
                <w:rFonts w:eastAsia="Times New Roman" w:cs="Calibri"/>
                <w:sz w:val="24"/>
                <w:szCs w:val="24"/>
                <w:vertAlign w:val="subscript"/>
                <w:lang w:val="cs-CZ" w:eastAsia="cs-CZ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Calibri"/>
                        <w:b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Calibri"/>
                      </w:rPr>
                      <m:t>CDV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Calibri"/>
                      </w:rPr>
                      <m:t>i</m:t>
                    </m:r>
                    <m:r>
                      <m:rPr>
                        <m:sty m:val="bi"/>
                      </m:rPr>
                      <w:rPr>
                        <w:rFonts w:ascii="Cambria Math" w:cs="Calibri"/>
                      </w:rPr>
                      <m:t xml:space="preserve"> 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cs="Calibri"/>
                  </w:rPr>
                  <m:t xml:space="preserve">= </m:t>
                </m:r>
                <m:sSub>
                  <m:sSubPr>
                    <m:ctrlPr>
                      <w:rPr>
                        <w:rFonts w:ascii="Cambria Math" w:hAnsi="Cambria Math" w:cs="Calibri"/>
                        <w:b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Calibri"/>
                      </w:rPr>
                      <m:t>CDV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cs="Calibri"/>
                      </w:rPr>
                      <m:t>2023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cs="Calibri"/>
                  </w:rPr>
                  <m:t>+ (</m:t>
                </m:r>
                <m:sSub>
                  <m:sSubPr>
                    <m:ctrlPr>
                      <w:rPr>
                        <w:rFonts w:ascii="Cambria Math" w:hAnsi="Cambria Math" w:cs="Calibri"/>
                        <w:b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Calibri"/>
                      </w:rPr>
                      <m:t>I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Calibri"/>
                      </w:rPr>
                      <m:t>iM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cs="Calibri"/>
                  </w:rPr>
                  <m:t xml:space="preserve">+ </m:t>
                </m:r>
                <m:sSub>
                  <m:sSubPr>
                    <m:ctrlPr>
                      <w:rPr>
                        <w:rFonts w:ascii="Cambria Math" w:hAnsi="Cambria Math" w:cs="Calibri"/>
                        <w:b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Calibri"/>
                      </w:rPr>
                      <m:t>I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Calibri"/>
                      </w:rPr>
                      <m:t>iN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cs="Calibri"/>
                  </w:rPr>
                  <m:t>)</m:t>
                </m:r>
              </m:oMath>
            </m:oMathPara>
          </w:p>
        </w:tc>
      </w:tr>
      <w:tr w:rsidR="003569B9" w:rsidRPr="006E1C7C" w:rsidTr="003569B9">
        <w:trPr>
          <w:trHeight w:val="1064"/>
        </w:trPr>
        <w:tc>
          <w:tcPr>
            <w:tcW w:w="2303" w:type="dxa"/>
          </w:tcPr>
          <w:p w:rsidR="003569B9" w:rsidRPr="006E1C7C" w:rsidRDefault="003569B9" w:rsidP="00B80C46">
            <w:pPr>
              <w:spacing w:after="120"/>
              <w:jc w:val="both"/>
              <w:rPr>
                <w:rFonts w:eastAsia="Times New Roman" w:cs="Calibri"/>
                <w:sz w:val="24"/>
                <w:szCs w:val="24"/>
                <w:u w:val="single"/>
                <w:lang w:val="cs-CZ" w:eastAsia="cs-CZ"/>
              </w:rPr>
            </w:pPr>
          </w:p>
        </w:tc>
        <w:tc>
          <w:tcPr>
            <w:tcW w:w="4751" w:type="dxa"/>
          </w:tcPr>
          <w:p w:rsidR="003569B9" w:rsidRPr="006E1C7C" w:rsidRDefault="003569B9" w:rsidP="00B80C46">
            <w:pPr>
              <w:spacing w:after="120"/>
              <w:jc w:val="both"/>
              <w:rPr>
                <w:rFonts w:eastAsia="Times New Roman" w:cs="Calibri"/>
                <w:sz w:val="24"/>
                <w:szCs w:val="24"/>
                <w:u w:val="single"/>
                <w:lang w:val="cs-CZ" w:eastAsia="cs-CZ"/>
              </w:rPr>
            </w:pPr>
          </w:p>
        </w:tc>
      </w:tr>
    </w:tbl>
    <w:p w:rsidR="00892803" w:rsidRPr="006E1C7C" w:rsidRDefault="00892803">
      <w:pPr>
        <w:rPr>
          <w:rFonts w:cs="Calibri"/>
          <w:sz w:val="24"/>
          <w:szCs w:val="24"/>
          <w:lang w:val="cs-CZ"/>
        </w:rPr>
      </w:pPr>
    </w:p>
    <w:p w:rsidR="003569B9" w:rsidRPr="006E1C7C" w:rsidRDefault="003569B9">
      <w:pPr>
        <w:rPr>
          <w:rFonts w:cs="Calibri"/>
          <w:sz w:val="24"/>
          <w:szCs w:val="24"/>
          <w:lang w:val="cs-CZ"/>
        </w:rPr>
      </w:pPr>
    </w:p>
    <w:p w:rsidR="003569B9" w:rsidRPr="006E1C7C" w:rsidRDefault="003569B9">
      <w:pPr>
        <w:rPr>
          <w:rFonts w:ascii="Times New Roman" w:hAnsi="Times New Roman"/>
          <w:sz w:val="24"/>
          <w:szCs w:val="24"/>
          <w:lang w:val="cs-CZ"/>
        </w:rPr>
      </w:pPr>
      <w:r w:rsidRPr="006E1C7C">
        <w:rPr>
          <w:rFonts w:cs="Calibri"/>
          <w:sz w:val="24"/>
          <w:szCs w:val="24"/>
          <w:lang w:val="cs-CZ"/>
        </w:rPr>
        <w:t>Základní cena dopravního výkonu na 1 km je pro rok ……………podle výše uvedeného výpočtu</w:t>
      </w:r>
      <w:r w:rsidRPr="006E1C7C">
        <w:rPr>
          <w:rFonts w:ascii="Times New Roman" w:hAnsi="Times New Roman"/>
          <w:sz w:val="24"/>
          <w:szCs w:val="24"/>
          <w:lang w:val="cs-CZ"/>
        </w:rPr>
        <w:t xml:space="preserve">……………………… Kč.  </w:t>
      </w:r>
    </w:p>
    <w:sectPr w:rsidR="003569B9" w:rsidRPr="006E1C7C" w:rsidSect="008928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9B9"/>
    <w:rsid w:val="00211A0A"/>
    <w:rsid w:val="00237F4F"/>
    <w:rsid w:val="003569B9"/>
    <w:rsid w:val="005368EB"/>
    <w:rsid w:val="00614392"/>
    <w:rsid w:val="00620BEE"/>
    <w:rsid w:val="006B2A3D"/>
    <w:rsid w:val="006E1C7C"/>
    <w:rsid w:val="006E1EE2"/>
    <w:rsid w:val="007B13B4"/>
    <w:rsid w:val="007E2082"/>
    <w:rsid w:val="00892803"/>
    <w:rsid w:val="009158AF"/>
    <w:rsid w:val="00966C14"/>
    <w:rsid w:val="00A73F0E"/>
    <w:rsid w:val="00BE3A41"/>
    <w:rsid w:val="00C34C08"/>
    <w:rsid w:val="00EC0E78"/>
    <w:rsid w:val="00EC4E16"/>
    <w:rsid w:val="00ED037F"/>
    <w:rsid w:val="00F027E9"/>
    <w:rsid w:val="00F16056"/>
    <w:rsid w:val="00F75153"/>
    <w:rsid w:val="00FA7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CBFF77-FD83-4274-BA07-3D3A65168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69B9"/>
    <w:rPr>
      <w:rFonts w:ascii="Calibri" w:eastAsia="Calibri" w:hAnsi="Calibri" w:cs="Times New Roman"/>
      <w:sz w:val="22"/>
      <w:lang w:val="ru-RU"/>
    </w:rPr>
  </w:style>
  <w:style w:type="paragraph" w:styleId="Nadpis2">
    <w:name w:val="heading 2"/>
    <w:basedOn w:val="Normln"/>
    <w:next w:val="Normln"/>
    <w:link w:val="Nadpis2Char"/>
    <w:qFormat/>
    <w:rsid w:val="003569B9"/>
    <w:pPr>
      <w:keepNext/>
      <w:widowControl w:val="0"/>
      <w:numPr>
        <w:ilvl w:val="1"/>
        <w:numId w:val="1"/>
      </w:numPr>
      <w:tabs>
        <w:tab w:val="left" w:pos="680"/>
      </w:tabs>
      <w:suppressAutoHyphens/>
      <w:spacing w:before="120" w:after="60" w:line="240" w:lineRule="auto"/>
      <w:jc w:val="both"/>
      <w:outlineLvl w:val="1"/>
    </w:pPr>
    <w:rPr>
      <w:rFonts w:ascii="Garamond" w:eastAsia="Times New Roman" w:hAnsi="Garamond"/>
      <w:b/>
      <w:sz w:val="32"/>
      <w:szCs w:val="20"/>
      <w:lang w:val="cs-CZ"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3569B9"/>
    <w:rPr>
      <w:rFonts w:ascii="Garamond" w:eastAsia="Times New Roman" w:hAnsi="Garamond" w:cs="Times New Roman"/>
      <w:b/>
      <w:sz w:val="32"/>
      <w:szCs w:val="20"/>
      <w:lang w:eastAsia="ar-SA"/>
    </w:rPr>
  </w:style>
  <w:style w:type="table" w:styleId="Mkatabulky">
    <w:name w:val="Table Grid"/>
    <w:basedOn w:val="Normlntabulka"/>
    <w:uiPriority w:val="59"/>
    <w:rsid w:val="003569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569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69B9"/>
    <w:rPr>
      <w:rFonts w:ascii="Tahoma" w:eastAsia="Calibri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179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Chrudim</Company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Klimek Martin</dc:creator>
  <cp:lastModifiedBy>JUDr. Hana Němečková, advokátka</cp:lastModifiedBy>
  <cp:revision>2</cp:revision>
  <dcterms:created xsi:type="dcterms:W3CDTF">2024-05-20T08:17:00Z</dcterms:created>
  <dcterms:modified xsi:type="dcterms:W3CDTF">2024-05-20T08:17:00Z</dcterms:modified>
</cp:coreProperties>
</file>